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imes New Roman" w:eastAsia="Malgun Gothic" w:hAnsi="Times New Roman" w:cs="Times New Roman"/>
          <w:color w:val="000000"/>
          <w:sz w:val="24"/>
          <w:szCs w:val="24"/>
          <w:lang w:bidi="fa-IR"/>
        </w:rPr>
      </w:pPr>
      <w:r w:rsidRPr="00531591">
        <w:rPr>
          <w:rFonts w:ascii="Times New Roman" w:eastAsia="Malgun Gothic" w:hAnsi="Times New Roman" w:cs="Times New Roman"/>
          <w:color w:val="000000"/>
          <w:sz w:val="24"/>
          <w:szCs w:val="24"/>
          <w:rtl/>
          <w:lang w:bidi="fa-IR"/>
        </w:rPr>
        <w:t> 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b/>
          <w:bCs/>
          <w:color w:val="000000"/>
          <w:sz w:val="20"/>
          <w:szCs w:val="20"/>
          <w:rtl/>
          <w:lang w:bidi="fa-IR"/>
        </w:rPr>
        <w:t>بخش امور دام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- مجوز بهسازی : </w:t>
      </w:r>
      <w:r w:rsidRPr="00531591">
        <w:rPr>
          <w:rFonts w:ascii="Tahoma" w:eastAsia="Malgun Gothic" w:hAnsi="Tahoma" w:cs="Tahoma"/>
          <w:color w:val="000000"/>
          <w:sz w:val="20"/>
          <w:szCs w:val="20"/>
          <w:u w:val="single"/>
          <w:rtl/>
          <w:lang w:bidi="fa-IR"/>
        </w:rPr>
        <w:t>30</w:t>
      </w: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 مورد.</w:t>
      </w:r>
    </w:p>
    <w:p w:rsidR="00531591" w:rsidRPr="00531591" w:rsidRDefault="00531591" w:rsidP="00531591">
      <w:pPr>
        <w:tabs>
          <w:tab w:val="num" w:pos="720"/>
        </w:tabs>
        <w:bidi/>
        <w:spacing w:after="0" w:line="360" w:lineRule="auto"/>
        <w:ind w:left="432" w:right="432" w:hanging="36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- </w:t>
      </w: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مجوز احداث: </w:t>
      </w:r>
      <w:r w:rsidRPr="00531591">
        <w:rPr>
          <w:rFonts w:ascii="Tahoma" w:eastAsia="Malgun Gothic" w:hAnsi="Tahoma" w:cs="Tahoma"/>
          <w:color w:val="000000"/>
          <w:sz w:val="20"/>
          <w:szCs w:val="20"/>
          <w:u w:val="single"/>
          <w:rtl/>
          <w:lang w:bidi="fa-IR"/>
        </w:rPr>
        <w:t>18</w:t>
      </w: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 مورد.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مبارزه با دفع سن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بازدید مزارع جهت مبارزه با سن مادر 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سمپاشی مزارع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پس از تشخیص وجود سن غلات و علف های هرز، سمپاشی در منطقه با حضور کارشناس مرکز در منطقه صورت گرفت.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سمپاشی جهت مبارزه با ملخ مراکشی در مزارع اطراف روستای قهی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کشت گلرنگ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imes New Roman" w:eastAsia="Malgun Gothic" w:hAnsi="Times New Roman" w:cs="Times New Roman"/>
          <w:color w:val="000000"/>
          <w:sz w:val="24"/>
          <w:szCs w:val="24"/>
          <w:rtl/>
          <w:lang w:bidi="fa-IR"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کشت  گلرنگ در سطح 2000 هکتار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امور بیمه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معرفی به تامین اجتماعی هرند جهت بیمه مربوط به کارگری: </w:t>
      </w:r>
      <w:r w:rsidRPr="00531591">
        <w:rPr>
          <w:rFonts w:ascii="Tahoma" w:eastAsia="Malgun Gothic" w:hAnsi="Tahoma" w:cs="Tahoma"/>
          <w:color w:val="000000"/>
          <w:sz w:val="20"/>
          <w:szCs w:val="20"/>
          <w:u w:val="single"/>
          <w:rtl/>
          <w:lang w:bidi="fa-IR"/>
        </w:rPr>
        <w:t>56</w:t>
      </w: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 مورد.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معرفی جهت تحصیلات سرمایه در گردش گندم و جو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300 مورد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>معرفی به اداره اقتصاد و دارایی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تعداد </w:t>
      </w:r>
      <w:r w:rsidRPr="00531591">
        <w:rPr>
          <w:rFonts w:ascii="Tahoma" w:eastAsia="Malgun Gothic" w:hAnsi="Tahoma" w:cs="Tahoma"/>
          <w:color w:val="000000"/>
          <w:sz w:val="20"/>
          <w:szCs w:val="20"/>
          <w:u w:val="single"/>
          <w:rtl/>
          <w:lang w:bidi="fa-IR"/>
        </w:rPr>
        <w:t>70</w:t>
      </w:r>
      <w:r w:rsidRPr="00531591"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  <w:t xml:space="preserve"> نفر از کشاورزان و دامداران منطقه جهت معافیت مالیاتی وانت های خود که در امور کشاورزی از آن استفاده می نمودند به اداره امور اقتصاد و دارایی معرفی شده اند.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 xml:space="preserve">امور اراضی 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بازدید اراضی جهت تغییر کاربری در مورد احداث انبار و گاوداری شیری و تکمیل فرم های مربوط (بیش از 45 مورد )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خوداشتغالی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تکمیل پرونده تسهیلات خوداشتغالی توسط پرسنل مرکز و ارسال به مدیریت جهت پرداخت تسهیلات (بیش از 45 مورد )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برداشت محصول جو در ، میانگین عملکرد 3000 کیلو گرم در هکتار می باشد .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برداشت محصول گندم در منطقه ، میانگین عملکرد 3.5 تن می باشد .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برگزاری کلاس آموزشی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دوره های بلند مدت سه روزه همراه با صدور گواهینامه پایان دوره شامل: 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1-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پرورش قارچ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2-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پرورش مرغ بومی و پرورش بوقلمون و شترمرغ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3- کلاس زعفران </w:t>
      </w: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</w:pPr>
      <w:r w:rsidRPr="00531591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lastRenderedPageBreak/>
        <w:t xml:space="preserve">برگزاری کلاس های آموزشی یک روزه شامل: </w:t>
      </w:r>
    </w:p>
    <w:p w:rsidR="00531591" w:rsidRPr="00531591" w:rsidRDefault="00531591" w:rsidP="00531591">
      <w:pPr>
        <w:bidi/>
        <w:spacing w:after="0" w:line="360" w:lineRule="auto"/>
        <w:ind w:left="432" w:right="432" w:hanging="36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1-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آماده سازی و تسطیح لیزری زمین،</w:t>
      </w:r>
    </w:p>
    <w:p w:rsidR="00531591" w:rsidRPr="00531591" w:rsidRDefault="00531591" w:rsidP="00531591">
      <w:pPr>
        <w:bidi/>
        <w:spacing w:after="0" w:line="360" w:lineRule="auto"/>
        <w:ind w:left="432" w:right="432" w:hanging="36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2ـ تناوب زراعی و بیمه محصولات کشاورزی</w:t>
      </w:r>
    </w:p>
    <w:p w:rsidR="00531591" w:rsidRPr="00531591" w:rsidRDefault="00531591" w:rsidP="00531591">
      <w:pPr>
        <w:bidi/>
        <w:spacing w:after="0" w:line="360" w:lineRule="auto"/>
        <w:ind w:left="432" w:right="432" w:hanging="36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3-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مبارزه با سن غلات،علف های هرز</w:t>
      </w:r>
    </w:p>
    <w:p w:rsidR="00531591" w:rsidRPr="00531591" w:rsidRDefault="00531591" w:rsidP="00531591">
      <w:pPr>
        <w:bidi/>
        <w:spacing w:after="0" w:line="360" w:lineRule="auto"/>
        <w:ind w:left="432" w:right="432" w:hanging="36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4ـ مصرف بهینه و کاهش کودهای شیمیایی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5-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بیماری های مشترک انسان و اسب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6-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بیماری مشترک انسان و دام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7-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کلاس آموزشی در زمینه محصول سالم و ارگانیک 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8-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آموزش کشت گلرنگ 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9- </w:t>
      </w: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مدیریت تلفیقی خشکسالی</w:t>
      </w:r>
    </w:p>
    <w:p w:rsidR="00531591" w:rsidRPr="00531591" w:rsidRDefault="00531591" w:rsidP="00531591">
      <w:pPr>
        <w:bidi/>
        <w:spacing w:after="0" w:line="360" w:lineRule="auto"/>
        <w:ind w:left="432" w:right="432" w:hanging="478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10ـ برگزاری دوره توجیهی تشکیل شرکت تعاونی مکانیزاسیون</w:t>
      </w:r>
    </w:p>
    <w:p w:rsidR="00531591" w:rsidRPr="00531591" w:rsidRDefault="00531591" w:rsidP="00531591">
      <w:pPr>
        <w:bidi/>
        <w:spacing w:after="0" w:line="360" w:lineRule="auto"/>
        <w:ind w:left="432" w:right="432" w:hanging="390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531591" w:rsidRPr="00531591" w:rsidRDefault="00531591" w:rsidP="00531591">
      <w:pPr>
        <w:bidi/>
        <w:spacing w:after="0" w:line="360" w:lineRule="auto"/>
        <w:ind w:left="432" w:right="43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سایر فعالیت ها</w:t>
      </w:r>
    </w:p>
    <w:p w:rsidR="00531591" w:rsidRPr="00531591" w:rsidRDefault="00531591" w:rsidP="00531591">
      <w:pPr>
        <w:bidi/>
        <w:spacing w:after="0" w:line="360" w:lineRule="auto"/>
        <w:ind w:left="237" w:right="432" w:hanging="142"/>
        <w:contextualSpacing/>
        <w:mirrorIndents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تنظیم لیست پرداخت بلاعوض خشکسالی به کشاورزان منطقه </w:t>
      </w:r>
    </w:p>
    <w:p w:rsidR="00531591" w:rsidRPr="00531591" w:rsidRDefault="00531591" w:rsidP="00531591">
      <w:pPr>
        <w:bidi/>
        <w:spacing w:before="240" w:after="120" w:line="360" w:lineRule="auto"/>
        <w:ind w:left="1985" w:right="170" w:hanging="1890"/>
        <w:rPr>
          <w:rFonts w:ascii="Tahoma" w:eastAsia="Malgun Gothic" w:hAnsi="Tahoma" w:cs="Tahoma"/>
          <w:color w:val="000000"/>
          <w:sz w:val="20"/>
          <w:szCs w:val="20"/>
          <w:rtl/>
          <w:lang w:bidi="fa-IR"/>
        </w:rPr>
      </w:pPr>
      <w:r w:rsidRPr="00531591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معرفی 15کشاورز جهت دریافت تسهیلات تراکتور و ادوات کشاورزی</w:t>
      </w:r>
    </w:p>
    <w:p w:rsidR="00300FFE" w:rsidRDefault="00531591" w:rsidP="00531591">
      <w:pPr>
        <w:bidi/>
      </w:pPr>
      <w:r w:rsidRPr="0053159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300FFE" w:rsidSect="00300F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1591"/>
    <w:rsid w:val="00300FFE"/>
    <w:rsid w:val="00531591"/>
    <w:rsid w:val="00573C08"/>
    <w:rsid w:val="0077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rafatja</dc:creator>
  <cp:lastModifiedBy>rafatja</cp:lastModifiedBy>
  <cp:revision>1</cp:revision>
  <dcterms:created xsi:type="dcterms:W3CDTF">2019-08-08T07:09:00Z</dcterms:created>
  <dcterms:modified xsi:type="dcterms:W3CDTF">2019-08-08T07:10:00Z</dcterms:modified>
</cp:coreProperties>
</file>